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1B7" w:rsidRPr="009951B7" w:rsidRDefault="009951B7" w:rsidP="009951B7">
      <w:pPr>
        <w:jc w:val="center"/>
        <w:rPr>
          <w:b/>
        </w:rPr>
      </w:pPr>
      <w:r w:rsidRPr="009951B7">
        <w:rPr>
          <w:b/>
        </w:rPr>
        <w:t xml:space="preserve">IN THE CIRCUIT COURT OF THE </w:t>
      </w:r>
      <w:r w:rsidR="00B8377F">
        <w:rPr>
          <w:b/>
        </w:rPr>
        <w:t>23</w:t>
      </w:r>
      <w:r w:rsidR="00B8377F" w:rsidRPr="008642FB">
        <w:rPr>
          <w:b/>
          <w:vertAlign w:val="superscript"/>
        </w:rPr>
        <w:t>RD</w:t>
      </w:r>
      <w:r w:rsidRPr="009951B7">
        <w:rPr>
          <w:b/>
        </w:rPr>
        <w:t xml:space="preserve"> JUDICIAL CIRCUIT,</w:t>
      </w:r>
    </w:p>
    <w:p w:rsidR="009951B7" w:rsidRPr="009951B7" w:rsidRDefault="009951B7" w:rsidP="009951B7">
      <w:pPr>
        <w:jc w:val="center"/>
        <w:rPr>
          <w:b/>
        </w:rPr>
      </w:pPr>
      <w:r w:rsidRPr="009951B7">
        <w:rPr>
          <w:b/>
        </w:rPr>
        <w:t>JEFFERSON</w:t>
      </w:r>
      <w:r w:rsidR="00B8377F">
        <w:rPr>
          <w:b/>
        </w:rPr>
        <w:t xml:space="preserve"> COUNTY</w:t>
      </w:r>
      <w:r w:rsidRPr="009951B7">
        <w:rPr>
          <w:b/>
        </w:rPr>
        <w:t>, MISSOURI</w:t>
      </w:r>
    </w:p>
    <w:p w:rsidR="009951B7" w:rsidRDefault="009951B7" w:rsidP="009951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785"/>
        <w:gridCol w:w="4670"/>
      </w:tblGrid>
      <w:tr w:rsidR="009951B7" w:rsidTr="009951B7">
        <w:tc>
          <w:tcPr>
            <w:tcW w:w="895" w:type="dxa"/>
          </w:tcPr>
          <w:p w:rsidR="009951B7" w:rsidRDefault="009951B7" w:rsidP="009951B7"/>
        </w:tc>
        <w:tc>
          <w:tcPr>
            <w:tcW w:w="3785" w:type="dxa"/>
            <w:tcBorders>
              <w:right w:val="single" w:sz="4" w:space="0" w:color="auto"/>
            </w:tcBorders>
          </w:tcPr>
          <w:p w:rsidR="009951B7" w:rsidRDefault="009951B7" w:rsidP="009951B7"/>
        </w:tc>
        <w:tc>
          <w:tcPr>
            <w:tcW w:w="4670" w:type="dxa"/>
            <w:tcBorders>
              <w:left w:val="single" w:sz="4" w:space="0" w:color="auto"/>
            </w:tcBorders>
          </w:tcPr>
          <w:p w:rsidR="009951B7" w:rsidRDefault="009951B7" w:rsidP="009951B7"/>
        </w:tc>
      </w:tr>
      <w:tr w:rsidR="009951B7" w:rsidTr="009951B7">
        <w:tc>
          <w:tcPr>
            <w:tcW w:w="4680" w:type="dxa"/>
            <w:gridSpan w:val="2"/>
            <w:tcBorders>
              <w:right w:val="single" w:sz="4" w:space="0" w:color="auto"/>
            </w:tcBorders>
          </w:tcPr>
          <w:p w:rsidR="009951B7" w:rsidRDefault="001C05BC" w:rsidP="009951B7">
            <w:r>
              <w:t>_________________________</w:t>
            </w:r>
          </w:p>
        </w:tc>
        <w:tc>
          <w:tcPr>
            <w:tcW w:w="4670" w:type="dxa"/>
            <w:tcBorders>
              <w:left w:val="single" w:sz="4" w:space="0" w:color="auto"/>
            </w:tcBorders>
          </w:tcPr>
          <w:p w:rsidR="009951B7" w:rsidRDefault="00030AB0" w:rsidP="009951B7">
            <w:r>
              <w:t>_________________________</w:t>
            </w:r>
          </w:p>
        </w:tc>
      </w:tr>
      <w:tr w:rsidR="009951B7" w:rsidTr="009951B7">
        <w:tc>
          <w:tcPr>
            <w:tcW w:w="895" w:type="dxa"/>
          </w:tcPr>
          <w:p w:rsidR="009951B7" w:rsidRDefault="009951B7" w:rsidP="009951B7"/>
        </w:tc>
        <w:tc>
          <w:tcPr>
            <w:tcW w:w="3785" w:type="dxa"/>
            <w:tcBorders>
              <w:right w:val="single" w:sz="4" w:space="0" w:color="auto"/>
            </w:tcBorders>
          </w:tcPr>
          <w:p w:rsidR="009951B7" w:rsidRDefault="009951B7" w:rsidP="009951B7">
            <w:r>
              <w:rPr>
                <w:rFonts w:ascii="Bookman Old Style" w:hAnsi="Bookman Old Style"/>
                <w:color w:val="000000"/>
              </w:rPr>
              <w:t>Petitioner,</w:t>
            </w:r>
          </w:p>
        </w:tc>
        <w:tc>
          <w:tcPr>
            <w:tcW w:w="4670" w:type="dxa"/>
            <w:tcBorders>
              <w:left w:val="single" w:sz="4" w:space="0" w:color="auto"/>
            </w:tcBorders>
          </w:tcPr>
          <w:p w:rsidR="009951B7" w:rsidRDefault="009951B7" w:rsidP="009951B7"/>
        </w:tc>
      </w:tr>
      <w:tr w:rsidR="009951B7" w:rsidTr="009951B7">
        <w:tc>
          <w:tcPr>
            <w:tcW w:w="895" w:type="dxa"/>
          </w:tcPr>
          <w:p w:rsidR="009951B7" w:rsidRDefault="009951B7" w:rsidP="009951B7"/>
        </w:tc>
        <w:tc>
          <w:tcPr>
            <w:tcW w:w="3785" w:type="dxa"/>
            <w:tcBorders>
              <w:right w:val="single" w:sz="4" w:space="0" w:color="auto"/>
            </w:tcBorders>
          </w:tcPr>
          <w:p w:rsidR="009951B7" w:rsidRDefault="009951B7" w:rsidP="009951B7"/>
        </w:tc>
        <w:tc>
          <w:tcPr>
            <w:tcW w:w="4670" w:type="dxa"/>
            <w:tcBorders>
              <w:left w:val="single" w:sz="4" w:space="0" w:color="auto"/>
            </w:tcBorders>
          </w:tcPr>
          <w:p w:rsidR="009951B7" w:rsidRDefault="009951B7" w:rsidP="009951B7"/>
        </w:tc>
      </w:tr>
      <w:tr w:rsidR="009951B7" w:rsidTr="009951B7">
        <w:tc>
          <w:tcPr>
            <w:tcW w:w="895" w:type="dxa"/>
          </w:tcPr>
          <w:p w:rsidR="009951B7" w:rsidRDefault="009951B7" w:rsidP="009951B7">
            <w:r>
              <w:t>vs.</w:t>
            </w:r>
          </w:p>
        </w:tc>
        <w:tc>
          <w:tcPr>
            <w:tcW w:w="3785" w:type="dxa"/>
            <w:tcBorders>
              <w:right w:val="single" w:sz="4" w:space="0" w:color="auto"/>
            </w:tcBorders>
          </w:tcPr>
          <w:p w:rsidR="009951B7" w:rsidRDefault="009951B7" w:rsidP="009951B7"/>
        </w:tc>
        <w:tc>
          <w:tcPr>
            <w:tcW w:w="4670" w:type="dxa"/>
            <w:tcBorders>
              <w:left w:val="single" w:sz="4" w:space="0" w:color="auto"/>
            </w:tcBorders>
          </w:tcPr>
          <w:p w:rsidR="009951B7" w:rsidRDefault="009951B7" w:rsidP="009951B7"/>
        </w:tc>
      </w:tr>
      <w:tr w:rsidR="009951B7" w:rsidTr="009951B7">
        <w:tc>
          <w:tcPr>
            <w:tcW w:w="895" w:type="dxa"/>
          </w:tcPr>
          <w:p w:rsidR="009951B7" w:rsidRDefault="009951B7" w:rsidP="009951B7"/>
        </w:tc>
        <w:tc>
          <w:tcPr>
            <w:tcW w:w="3785" w:type="dxa"/>
            <w:tcBorders>
              <w:right w:val="single" w:sz="4" w:space="0" w:color="auto"/>
            </w:tcBorders>
          </w:tcPr>
          <w:p w:rsidR="009951B7" w:rsidRDefault="009951B7" w:rsidP="009951B7"/>
        </w:tc>
        <w:tc>
          <w:tcPr>
            <w:tcW w:w="4670" w:type="dxa"/>
            <w:tcBorders>
              <w:left w:val="single" w:sz="4" w:space="0" w:color="auto"/>
            </w:tcBorders>
          </w:tcPr>
          <w:p w:rsidR="009951B7" w:rsidRDefault="009951B7" w:rsidP="009951B7"/>
        </w:tc>
      </w:tr>
      <w:tr w:rsidR="009951B7" w:rsidTr="009951B7">
        <w:tc>
          <w:tcPr>
            <w:tcW w:w="4680" w:type="dxa"/>
            <w:gridSpan w:val="2"/>
            <w:tcBorders>
              <w:right w:val="single" w:sz="4" w:space="0" w:color="auto"/>
            </w:tcBorders>
          </w:tcPr>
          <w:p w:rsidR="009951B7" w:rsidRDefault="001C05BC" w:rsidP="009951B7">
            <w:r>
              <w:t>_________________________</w:t>
            </w:r>
          </w:p>
        </w:tc>
        <w:tc>
          <w:tcPr>
            <w:tcW w:w="4670" w:type="dxa"/>
            <w:tcBorders>
              <w:left w:val="single" w:sz="4" w:space="0" w:color="auto"/>
            </w:tcBorders>
          </w:tcPr>
          <w:p w:rsidR="009951B7" w:rsidRDefault="009951B7" w:rsidP="009951B7">
            <w:r>
              <w:t xml:space="preserve">Division </w:t>
            </w:r>
            <w:r w:rsidR="00030AB0">
              <w:t>___</w:t>
            </w:r>
          </w:p>
        </w:tc>
      </w:tr>
      <w:tr w:rsidR="009951B7" w:rsidTr="009951B7">
        <w:tc>
          <w:tcPr>
            <w:tcW w:w="895" w:type="dxa"/>
          </w:tcPr>
          <w:p w:rsidR="009951B7" w:rsidRDefault="009951B7" w:rsidP="009951B7"/>
        </w:tc>
        <w:tc>
          <w:tcPr>
            <w:tcW w:w="3785" w:type="dxa"/>
            <w:tcBorders>
              <w:right w:val="single" w:sz="4" w:space="0" w:color="auto"/>
            </w:tcBorders>
          </w:tcPr>
          <w:p w:rsidR="009951B7" w:rsidRDefault="009951B7" w:rsidP="009951B7">
            <w:r>
              <w:rPr>
                <w:rFonts w:ascii="Bookman Old Style" w:hAnsi="Bookman Old Style"/>
                <w:color w:val="000000"/>
              </w:rPr>
              <w:t>Respondent.</w:t>
            </w:r>
          </w:p>
        </w:tc>
        <w:tc>
          <w:tcPr>
            <w:tcW w:w="4670" w:type="dxa"/>
            <w:tcBorders>
              <w:left w:val="single" w:sz="4" w:space="0" w:color="auto"/>
            </w:tcBorders>
          </w:tcPr>
          <w:p w:rsidR="009951B7" w:rsidRDefault="009951B7" w:rsidP="009951B7"/>
        </w:tc>
      </w:tr>
      <w:tr w:rsidR="009951B7" w:rsidTr="009951B7">
        <w:tc>
          <w:tcPr>
            <w:tcW w:w="895" w:type="dxa"/>
          </w:tcPr>
          <w:p w:rsidR="009951B7" w:rsidRDefault="009951B7" w:rsidP="009951B7"/>
        </w:tc>
        <w:tc>
          <w:tcPr>
            <w:tcW w:w="3785" w:type="dxa"/>
            <w:tcBorders>
              <w:right w:val="single" w:sz="4" w:space="0" w:color="auto"/>
            </w:tcBorders>
          </w:tcPr>
          <w:p w:rsidR="009951B7" w:rsidRDefault="009951B7" w:rsidP="009951B7"/>
        </w:tc>
        <w:tc>
          <w:tcPr>
            <w:tcW w:w="4670" w:type="dxa"/>
            <w:tcBorders>
              <w:left w:val="single" w:sz="4" w:space="0" w:color="auto"/>
            </w:tcBorders>
          </w:tcPr>
          <w:p w:rsidR="009951B7" w:rsidRDefault="009951B7" w:rsidP="009951B7"/>
        </w:tc>
      </w:tr>
    </w:tbl>
    <w:p w:rsidR="009951B7" w:rsidRDefault="009951B7" w:rsidP="009951B7"/>
    <w:p w:rsidR="009951B7" w:rsidRPr="009951B7" w:rsidRDefault="00030AB0" w:rsidP="009951B7">
      <w:pPr>
        <w:jc w:val="center"/>
        <w:rPr>
          <w:b/>
          <w:u w:val="single"/>
        </w:rPr>
      </w:pPr>
      <w:r>
        <w:rPr>
          <w:b/>
          <w:u w:val="single"/>
        </w:rPr>
        <w:t>ORDER REGARDING PARENT COMMUNICATIONS</w:t>
      </w:r>
    </w:p>
    <w:p w:rsidR="009951B7" w:rsidRDefault="009951B7" w:rsidP="009951B7"/>
    <w:p w:rsidR="00030AB0" w:rsidRDefault="00030AB0" w:rsidP="00030AB0">
      <w:pPr>
        <w:pStyle w:val="ListParagraph"/>
        <w:numPr>
          <w:ilvl w:val="0"/>
          <w:numId w:val="1"/>
        </w:numPr>
        <w:spacing w:after="120"/>
        <w:ind w:left="360"/>
        <w:contextualSpacing w:val="0"/>
      </w:pPr>
      <w:r w:rsidRPr="00030AB0">
        <w:rPr>
          <w:b/>
        </w:rPr>
        <w:t>Enrollment:</w:t>
      </w:r>
      <w:r>
        <w:t xml:space="preserve"> The Court finds that it is i</w:t>
      </w:r>
      <w:bookmarkStart w:id="0" w:name="_GoBack"/>
      <w:bookmarkEnd w:id="0"/>
      <w:r>
        <w:t xml:space="preserve">n the best interest of the children for the parties to communicate regarding their child(ren) via </w:t>
      </w:r>
      <w:proofErr w:type="spellStart"/>
      <w:r>
        <w:t>OurFamilyWizard</w:t>
      </w:r>
      <w:proofErr w:type="spellEnd"/>
      <w:r>
        <w:t xml:space="preserve"> (“OFW”). The parties are ordered to each establish an OFW Parent Account. Each shall enroll in the program</w:t>
      </w:r>
      <w:r w:rsidR="0043620C">
        <w:t xml:space="preserve"> within</w:t>
      </w:r>
      <w:r>
        <w:t xml:space="preserve"> </w:t>
      </w:r>
      <w:r w:rsidR="0043620C">
        <w:t>48 hours</w:t>
      </w:r>
      <w:r>
        <w:t>. The parties shall enroll by completing the sign-up process at OurFamilyWizard.com or by contacting OFW Customer Support.</w:t>
      </w:r>
    </w:p>
    <w:p w:rsidR="0043620C" w:rsidRDefault="0043620C" w:rsidP="0043620C">
      <w:pPr>
        <w:pStyle w:val="ListParagraph"/>
        <w:numPr>
          <w:ilvl w:val="1"/>
          <w:numId w:val="1"/>
        </w:numPr>
        <w:spacing w:after="120"/>
        <w:contextualSpacing w:val="0"/>
      </w:pPr>
      <w:r>
        <w:t>Petitioner email: __________________________________________________</w:t>
      </w:r>
    </w:p>
    <w:p w:rsidR="0043620C" w:rsidRDefault="0043620C" w:rsidP="0043620C">
      <w:pPr>
        <w:pStyle w:val="ListParagraph"/>
        <w:numPr>
          <w:ilvl w:val="1"/>
          <w:numId w:val="1"/>
        </w:numPr>
        <w:spacing w:after="120"/>
        <w:contextualSpacing w:val="0"/>
      </w:pPr>
      <w:r>
        <w:t>Respondent email: __________________________________________________</w:t>
      </w:r>
    </w:p>
    <w:p w:rsidR="00030AB0" w:rsidRDefault="00030AB0" w:rsidP="00030AB0">
      <w:pPr>
        <w:pStyle w:val="ListParagraph"/>
        <w:numPr>
          <w:ilvl w:val="0"/>
          <w:numId w:val="1"/>
        </w:numPr>
        <w:spacing w:after="120"/>
        <w:ind w:left="360"/>
        <w:contextualSpacing w:val="0"/>
      </w:pPr>
      <w:r w:rsidRPr="00030AB0">
        <w:rPr>
          <w:b/>
        </w:rPr>
        <w:t>Package Selection:</w:t>
      </w:r>
      <w:r>
        <w:t xml:space="preserve"> The parties shall ensure that they have an OFW package that enables them to utilize OFW in the manner outlined herein.</w:t>
      </w:r>
    </w:p>
    <w:p w:rsidR="00030AB0" w:rsidRDefault="00030AB0" w:rsidP="00030AB0">
      <w:pPr>
        <w:pStyle w:val="ListParagraph"/>
        <w:numPr>
          <w:ilvl w:val="0"/>
          <w:numId w:val="1"/>
        </w:numPr>
        <w:spacing w:after="120"/>
        <w:ind w:left="360"/>
        <w:contextualSpacing w:val="0"/>
      </w:pPr>
      <w:r w:rsidRPr="00030AB0">
        <w:rPr>
          <w:b/>
        </w:rPr>
        <w:t>Utilization:</w:t>
      </w:r>
      <w:r>
        <w:t xml:space="preserve"> After registration, the parties shall immediately begin to utilize their OFW accounts via the website at OurFamilyWizard.com or via the OFW mobile applications for iOS or Android.</w:t>
      </w:r>
    </w:p>
    <w:p w:rsidR="00030AB0" w:rsidRDefault="00030AB0" w:rsidP="00030AB0">
      <w:pPr>
        <w:pStyle w:val="ListParagraph"/>
        <w:numPr>
          <w:ilvl w:val="0"/>
          <w:numId w:val="1"/>
        </w:numPr>
        <w:spacing w:after="120"/>
        <w:ind w:left="360"/>
        <w:contextualSpacing w:val="0"/>
      </w:pPr>
      <w:r w:rsidRPr="00030AB0">
        <w:rPr>
          <w:b/>
        </w:rPr>
        <w:t>Exclusivity:</w:t>
      </w:r>
      <w:r>
        <w:t xml:space="preserve"> Thereafter, the parties shall not e-mail, text, or telephone but shall post all communication with one another exclusively on OFW unless otherwise noted herein.</w:t>
      </w:r>
    </w:p>
    <w:p w:rsidR="00030AB0" w:rsidRDefault="00030AB0" w:rsidP="00030AB0">
      <w:pPr>
        <w:pStyle w:val="ListParagraph"/>
        <w:numPr>
          <w:ilvl w:val="0"/>
          <w:numId w:val="1"/>
        </w:numPr>
        <w:spacing w:after="120"/>
        <w:ind w:left="360"/>
        <w:contextualSpacing w:val="0"/>
      </w:pPr>
      <w:r w:rsidRPr="00030AB0">
        <w:rPr>
          <w:b/>
        </w:rPr>
        <w:t xml:space="preserve">Message Board: </w:t>
      </w:r>
      <w:r>
        <w:t>The parties shall only utilize the OFW Message Board feature when the information to be communicated cannot be conveyed in the Calendar, Expense Log, Journal, Info Bank, or other OFW features.</w:t>
      </w:r>
    </w:p>
    <w:p w:rsidR="00030AB0" w:rsidRDefault="00030AB0" w:rsidP="00030AB0">
      <w:pPr>
        <w:pStyle w:val="ListParagraph"/>
        <w:numPr>
          <w:ilvl w:val="1"/>
          <w:numId w:val="1"/>
        </w:numPr>
        <w:spacing w:after="120"/>
        <w:contextualSpacing w:val="0"/>
      </w:pPr>
      <w:r>
        <w:t>Parents should check OFW at least every 24 hours without good cause.</w:t>
      </w:r>
    </w:p>
    <w:p w:rsidR="00030AB0" w:rsidRDefault="00030AB0" w:rsidP="00030AB0">
      <w:pPr>
        <w:pStyle w:val="ListParagraph"/>
        <w:numPr>
          <w:ilvl w:val="1"/>
          <w:numId w:val="1"/>
        </w:numPr>
        <w:spacing w:after="120"/>
        <w:contextualSpacing w:val="0"/>
      </w:pPr>
      <w:r>
        <w:t>Whenever an entry requires a response, the receiving parent shall respond within 48 hours unless the entry itself indicates that a longer time frame is acceptable.</w:t>
      </w:r>
    </w:p>
    <w:p w:rsidR="00030AB0" w:rsidRDefault="00030AB0" w:rsidP="00030AB0">
      <w:pPr>
        <w:pStyle w:val="ListParagraph"/>
        <w:numPr>
          <w:ilvl w:val="0"/>
          <w:numId w:val="1"/>
        </w:numPr>
        <w:spacing w:after="120"/>
        <w:ind w:left="360"/>
        <w:contextualSpacing w:val="0"/>
      </w:pPr>
      <w:r w:rsidRPr="00030AB0">
        <w:rPr>
          <w:b/>
        </w:rPr>
        <w:t>Expense Log:</w:t>
      </w:r>
      <w:r>
        <w:t xml:space="preserve"> The parties shall take advantage of the tools in the Expense Log to record and formalize all potentially reimbursable expenses in order to </w:t>
      </w:r>
      <w:r>
        <w:lastRenderedPageBreak/>
        <w:t>mitigate the necessity of further litigation over such matters. An electronic file of the receipt must be attached to each expense entry.</w:t>
      </w:r>
    </w:p>
    <w:p w:rsidR="00030AB0" w:rsidRDefault="00030AB0" w:rsidP="00030AB0">
      <w:pPr>
        <w:pStyle w:val="ListParagraph"/>
        <w:numPr>
          <w:ilvl w:val="0"/>
          <w:numId w:val="1"/>
        </w:numPr>
        <w:spacing w:after="120"/>
        <w:ind w:left="360"/>
        <w:contextualSpacing w:val="0"/>
      </w:pPr>
      <w:r>
        <w:t xml:space="preserve">[OPTIONAL] </w:t>
      </w:r>
      <w:proofErr w:type="spellStart"/>
      <w:r>
        <w:t>ToneMeter</w:t>
      </w:r>
      <w:proofErr w:type="spellEnd"/>
      <w:r>
        <w:t xml:space="preserve">: The parties shall utilize the </w:t>
      </w:r>
      <w:proofErr w:type="spellStart"/>
      <w:r>
        <w:t>ToneMeter</w:t>
      </w:r>
      <w:proofErr w:type="spellEnd"/>
      <w:r>
        <w:t xml:space="preserve"> feature for support with writing clear, concise messages. The parties understand that they can apply a suggestion from </w:t>
      </w:r>
      <w:proofErr w:type="spellStart"/>
      <w:r>
        <w:t>ToneMeter</w:t>
      </w:r>
      <w:proofErr w:type="spellEnd"/>
      <w:r>
        <w:t xml:space="preserve"> to their message draft and will have an opportunity to make further edits to their draft prior to sending. Parents retain full responsibility for the content of all messages sent.</w:t>
      </w:r>
    </w:p>
    <w:p w:rsidR="00030AB0" w:rsidRDefault="00030AB0" w:rsidP="00030AB0">
      <w:pPr>
        <w:pStyle w:val="ListParagraph"/>
        <w:numPr>
          <w:ilvl w:val="0"/>
          <w:numId w:val="1"/>
        </w:numPr>
        <w:spacing w:after="120"/>
        <w:ind w:left="360"/>
        <w:contextualSpacing w:val="0"/>
      </w:pPr>
      <w:r>
        <w:t xml:space="preserve">[OPTIONAL] Call Feature: The parties shall utilize the </w:t>
      </w:r>
      <w:proofErr w:type="spellStart"/>
      <w:r>
        <w:t>OurFamilyWizard</w:t>
      </w:r>
      <w:proofErr w:type="spellEnd"/>
      <w:r>
        <w:t xml:space="preserve"> documented voice and video call feature (hereinafter “Calls”) and shall grant the consent required in order to place and receive Calls from one another.</w:t>
      </w:r>
    </w:p>
    <w:p w:rsidR="00030AB0" w:rsidRDefault="00030AB0" w:rsidP="00030AB0">
      <w:pPr>
        <w:pStyle w:val="ListParagraph"/>
        <w:numPr>
          <w:ilvl w:val="1"/>
          <w:numId w:val="1"/>
        </w:numPr>
        <w:spacing w:after="120"/>
        <w:contextualSpacing w:val="0"/>
      </w:pPr>
      <w:r>
        <w:t>Purpose of Calls: The parties shall utilize the Calls feature for the purpose of enabling the minor child(ren) to communicate with the parent who is not exercising parenting time at that moment.</w:t>
      </w:r>
    </w:p>
    <w:p w:rsidR="00030AB0" w:rsidRDefault="00030AB0" w:rsidP="00030AB0">
      <w:pPr>
        <w:pStyle w:val="ListParagraph"/>
        <w:numPr>
          <w:ilvl w:val="1"/>
          <w:numId w:val="1"/>
        </w:numPr>
        <w:spacing w:after="120"/>
        <w:contextualSpacing w:val="0"/>
      </w:pPr>
      <w:r>
        <w:t>Each party shall have reasonable Calls contact with the minor children when in the custody of the other party at a time that is convenient given the parties’ and children’s schedules.</w:t>
      </w:r>
    </w:p>
    <w:p w:rsidR="00030AB0" w:rsidRDefault="00030AB0" w:rsidP="00030AB0">
      <w:pPr>
        <w:pStyle w:val="ListParagraph"/>
        <w:numPr>
          <w:ilvl w:val="1"/>
          <w:numId w:val="1"/>
        </w:numPr>
        <w:spacing w:after="120"/>
        <w:contextualSpacing w:val="0"/>
      </w:pPr>
      <w:r>
        <w:t>The calls shall take place on ______________________ at ______________________.</w:t>
      </w:r>
    </w:p>
    <w:p w:rsidR="00030AB0" w:rsidRDefault="00030AB0" w:rsidP="00030AB0">
      <w:pPr>
        <w:pStyle w:val="ListParagraph"/>
        <w:numPr>
          <w:ilvl w:val="1"/>
          <w:numId w:val="1"/>
        </w:numPr>
        <w:spacing w:after="120"/>
        <w:contextualSpacing w:val="0"/>
      </w:pPr>
      <w:r>
        <w:t>Privacy: Each party will ensure that when the minor child(ren) are utilizing the Calls feature to communicate with the other parent, the parent who is present with the child(ren) will initiate the call, but then leave the child(ren) to speak in privacy.</w:t>
      </w:r>
    </w:p>
    <w:p w:rsidR="00030AB0" w:rsidRDefault="00030AB0" w:rsidP="00030AB0">
      <w:pPr>
        <w:pStyle w:val="ListParagraph"/>
        <w:numPr>
          <w:ilvl w:val="1"/>
          <w:numId w:val="1"/>
        </w:numPr>
        <w:spacing w:after="120"/>
        <w:contextualSpacing w:val="0"/>
      </w:pPr>
      <w:r>
        <w:t>Recording (Option A): The Calls outlined herein, including those between parents and child(ren), shall be recorded and each party shall grant the permission necessary in order for the Calls to be recorded.</w:t>
      </w:r>
    </w:p>
    <w:p w:rsidR="00030AB0" w:rsidRDefault="00030AB0" w:rsidP="00030AB0">
      <w:pPr>
        <w:pStyle w:val="ListParagraph"/>
        <w:numPr>
          <w:ilvl w:val="1"/>
          <w:numId w:val="1"/>
        </w:numPr>
        <w:spacing w:after="120"/>
        <w:contextualSpacing w:val="0"/>
      </w:pPr>
      <w:r>
        <w:t>Recording (Option B): Calls between the parties shall be recorded and each party shall grant the permission necessary in order for the Calls to be recorded, however Calls between a party and child(ren) shall not be recorded.</w:t>
      </w:r>
    </w:p>
    <w:p w:rsidR="00030AB0" w:rsidRDefault="00030AB0" w:rsidP="00030AB0">
      <w:pPr>
        <w:pStyle w:val="ListParagraph"/>
        <w:numPr>
          <w:ilvl w:val="1"/>
          <w:numId w:val="1"/>
        </w:numPr>
        <w:spacing w:after="120"/>
        <w:contextualSpacing w:val="0"/>
      </w:pPr>
      <w:r>
        <w:t>Recording (Option C): The Calls outlined herein shall not be recorded.</w:t>
      </w:r>
    </w:p>
    <w:p w:rsidR="00030AB0" w:rsidRDefault="00030AB0" w:rsidP="00030AB0">
      <w:pPr>
        <w:pStyle w:val="ListParagraph"/>
        <w:numPr>
          <w:ilvl w:val="1"/>
          <w:numId w:val="1"/>
        </w:numPr>
        <w:spacing w:after="120"/>
        <w:contextualSpacing w:val="0"/>
      </w:pPr>
      <w:r>
        <w:t>Dissemination: The parties shall not disseminate any recordings or transcripts of Calls to anyone except to family law professionals directly involved in this case or as requested by this Court.</w:t>
      </w:r>
    </w:p>
    <w:p w:rsidR="00030AB0" w:rsidRDefault="00030AB0" w:rsidP="00030AB0">
      <w:pPr>
        <w:pStyle w:val="ListParagraph"/>
        <w:numPr>
          <w:ilvl w:val="0"/>
          <w:numId w:val="1"/>
        </w:numPr>
        <w:spacing w:after="120"/>
        <w:ind w:left="360"/>
        <w:contextualSpacing w:val="0"/>
      </w:pPr>
      <w:r>
        <w:t xml:space="preserve"> [OPTIONAL] </w:t>
      </w:r>
      <w:proofErr w:type="spellStart"/>
      <w:r>
        <w:t>OFWpay</w:t>
      </w:r>
      <w:proofErr w:type="spellEnd"/>
      <w:r>
        <w:t xml:space="preserve">: The parties shall utilize </w:t>
      </w:r>
      <w:proofErr w:type="spellStart"/>
      <w:r>
        <w:t>OFWpay</w:t>
      </w:r>
      <w:proofErr w:type="spellEnd"/>
      <w:r>
        <w:t xml:space="preserve"> in the Expense Log to initiate e-payments for reimbursements.</w:t>
      </w:r>
    </w:p>
    <w:p w:rsidR="00030AB0" w:rsidRDefault="00030AB0" w:rsidP="00030AB0">
      <w:pPr>
        <w:pStyle w:val="ListParagraph"/>
        <w:numPr>
          <w:ilvl w:val="0"/>
          <w:numId w:val="1"/>
        </w:numPr>
        <w:spacing w:after="120"/>
        <w:ind w:left="360"/>
        <w:contextualSpacing w:val="0"/>
      </w:pPr>
      <w:r>
        <w:t>[OPTIONAL] Check-ins: The parties shall utilize the Check-ins tool in the OFW Journal to memorialize their presence at parenting time exchanges and visitations.</w:t>
      </w:r>
    </w:p>
    <w:p w:rsidR="00030AB0" w:rsidRDefault="00030AB0" w:rsidP="00030AB0">
      <w:pPr>
        <w:pStyle w:val="ListParagraph"/>
        <w:numPr>
          <w:ilvl w:val="0"/>
          <w:numId w:val="1"/>
        </w:numPr>
        <w:spacing w:after="120"/>
        <w:ind w:left="360"/>
        <w:contextualSpacing w:val="0"/>
      </w:pPr>
      <w:r w:rsidRPr="00030AB0">
        <w:rPr>
          <w:b/>
        </w:rPr>
        <w:lastRenderedPageBreak/>
        <w:t>Professional Access:</w:t>
      </w:r>
      <w:r>
        <w:t xml:space="preserve"> Professional Access shall be granted by each party to their respective attorney(s) of record and the assigned:</w:t>
      </w:r>
    </w:p>
    <w:p w:rsidR="00030AB0" w:rsidRDefault="00030AB0" w:rsidP="00030AB0">
      <w:pPr>
        <w:pStyle w:val="ListParagraph"/>
        <w:numPr>
          <w:ilvl w:val="1"/>
          <w:numId w:val="1"/>
        </w:numPr>
        <w:spacing w:after="120"/>
        <w:contextualSpacing w:val="0"/>
      </w:pPr>
      <w:r>
        <w:t>[</w:t>
      </w:r>
      <w:r w:rsidR="006D6CB7">
        <w:t>X</w:t>
      </w:r>
      <w:r>
        <w:t>] Judge / Commissioner [</w:t>
      </w:r>
      <w:r w:rsidR="006D6CB7">
        <w:t>X</w:t>
      </w:r>
      <w:r>
        <w:t>] Guardian ad Litem [</w:t>
      </w:r>
      <w:r w:rsidR="006D6CB7">
        <w:t>X</w:t>
      </w:r>
      <w:r>
        <w:t>] Therapist</w:t>
      </w:r>
      <w:r w:rsidR="006D6CB7">
        <w:t>/Counselor</w:t>
      </w:r>
      <w:r>
        <w:t xml:space="preserve"> [</w:t>
      </w:r>
      <w:r w:rsidR="006D6CB7">
        <w:t>X</w:t>
      </w:r>
      <w:r>
        <w:t xml:space="preserve">] Parent Coordinator </w:t>
      </w:r>
      <w:proofErr w:type="gramStart"/>
      <w:r>
        <w:t>[ ]</w:t>
      </w:r>
      <w:proofErr w:type="gramEnd"/>
      <w:r>
        <w:t xml:space="preserve"> Other: ______________________</w:t>
      </w:r>
    </w:p>
    <w:p w:rsidR="00030AB0" w:rsidRDefault="00030AB0" w:rsidP="00030AB0">
      <w:pPr>
        <w:pStyle w:val="ListParagraph"/>
        <w:numPr>
          <w:ilvl w:val="1"/>
          <w:numId w:val="1"/>
        </w:numPr>
        <w:spacing w:after="120"/>
        <w:contextualSpacing w:val="0"/>
      </w:pPr>
      <w:r>
        <w:t>Name(s) and email address(es) of attorney(s) of record and assigned individuals:</w:t>
      </w:r>
    </w:p>
    <w:p w:rsidR="00030AB0" w:rsidRDefault="00030AB0" w:rsidP="00030AB0">
      <w:pPr>
        <w:pStyle w:val="ListParagraph"/>
        <w:spacing w:after="120"/>
        <w:ind w:left="1080"/>
        <w:contextualSpacing w:val="0"/>
      </w:pPr>
      <w:r>
        <w:t>__________________________________________________</w:t>
      </w:r>
    </w:p>
    <w:p w:rsidR="00030AB0" w:rsidRDefault="00030AB0" w:rsidP="00030AB0">
      <w:pPr>
        <w:pStyle w:val="ListParagraph"/>
        <w:spacing w:after="120"/>
        <w:ind w:left="1080"/>
        <w:contextualSpacing w:val="0"/>
      </w:pPr>
      <w:r>
        <w:t>__________________________________________________</w:t>
      </w:r>
    </w:p>
    <w:p w:rsidR="00030AB0" w:rsidRDefault="00030AB0" w:rsidP="00030AB0">
      <w:pPr>
        <w:pStyle w:val="ListParagraph"/>
        <w:numPr>
          <w:ilvl w:val="0"/>
          <w:numId w:val="1"/>
        </w:numPr>
        <w:spacing w:after="120"/>
        <w:ind w:left="360"/>
        <w:contextualSpacing w:val="0"/>
      </w:pPr>
      <w:r w:rsidRPr="00030AB0">
        <w:rPr>
          <w:b/>
        </w:rPr>
        <w:t xml:space="preserve">Renewal: </w:t>
      </w:r>
      <w:r>
        <w:t>Unless or until there is a signed Order of this Court ending the parties’ utilization of OFW or the youngest of the parties’ children reaches the age of 18, neither party shall fail to renew his or her annual OFW subscription.</w:t>
      </w:r>
    </w:p>
    <w:p w:rsidR="00030AB0" w:rsidRDefault="00030AB0" w:rsidP="00030AB0">
      <w:pPr>
        <w:pStyle w:val="ListParagraph"/>
        <w:numPr>
          <w:ilvl w:val="0"/>
          <w:numId w:val="1"/>
        </w:numPr>
        <w:spacing w:after="120"/>
        <w:ind w:left="360"/>
        <w:contextualSpacing w:val="0"/>
      </w:pPr>
      <w:r w:rsidRPr="00030AB0">
        <w:rPr>
          <w:b/>
        </w:rPr>
        <w:t>Evidence:</w:t>
      </w:r>
      <w:r>
        <w:t xml:space="preserve"> Absent filing of a written objection, records maintained by OFW shall be received into evidence without further foundation or objection.</w:t>
      </w:r>
    </w:p>
    <w:p w:rsidR="009951B7" w:rsidRDefault="00030AB0" w:rsidP="00030AB0">
      <w:pPr>
        <w:pStyle w:val="ListParagraph"/>
        <w:numPr>
          <w:ilvl w:val="0"/>
          <w:numId w:val="1"/>
        </w:numPr>
        <w:spacing w:after="120"/>
        <w:ind w:left="360"/>
        <w:contextualSpacing w:val="0"/>
      </w:pPr>
      <w:r w:rsidRPr="00030AB0">
        <w:rPr>
          <w:b/>
        </w:rPr>
        <w:t>Duration:</w:t>
      </w:r>
      <w:r>
        <w:t xml:space="preserve"> This Order of Court shall remain in full force and effect until further Order of Court.</w:t>
      </w:r>
    </w:p>
    <w:sectPr w:rsidR="00995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F3722"/>
    <w:multiLevelType w:val="hybridMultilevel"/>
    <w:tmpl w:val="ECBA1EC4"/>
    <w:lvl w:ilvl="0" w:tplc="0409000F">
      <w:start w:val="1"/>
      <w:numFmt w:val="decimal"/>
      <w:lvlText w:val="%1."/>
      <w:lvlJc w:val="left"/>
      <w:pPr>
        <w:ind w:left="1440" w:hanging="360"/>
      </w:pPr>
    </w:lvl>
    <w:lvl w:ilvl="1" w:tplc="A198CBEE">
      <w:start w:val="1"/>
      <w:numFmt w:val="lowerLetter"/>
      <w:lvlText w:val="%2."/>
      <w:lvlJc w:val="left"/>
      <w:pPr>
        <w:ind w:left="108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B0"/>
    <w:rsid w:val="00030AB0"/>
    <w:rsid w:val="001C05BC"/>
    <w:rsid w:val="0043620C"/>
    <w:rsid w:val="00657D6E"/>
    <w:rsid w:val="006D6CB7"/>
    <w:rsid w:val="008642FB"/>
    <w:rsid w:val="009951B7"/>
    <w:rsid w:val="00B8377F"/>
    <w:rsid w:val="00C732C4"/>
    <w:rsid w:val="00C7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00E73"/>
  <w15:chartTrackingRefBased/>
  <w15:docId w15:val="{802CF0BC-C19B-4775-9C68-A9AB8AC8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1B7"/>
    <w:pPr>
      <w:spacing w:after="0" w:line="240" w:lineRule="auto"/>
    </w:pPr>
    <w:rPr>
      <w:rFonts w:ascii="Century Schoolbook" w:hAnsi="Century School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6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ENBVJ\Documents\Custom%20Office%20Templates\Blank%20Memo%20v4.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Memo v4.0</Template>
  <TotalTime>19</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J. Melenbrink</dc:creator>
  <cp:keywords/>
  <dc:description/>
  <cp:lastModifiedBy>Vic J. Melenbrink</cp:lastModifiedBy>
  <cp:revision>4</cp:revision>
  <dcterms:created xsi:type="dcterms:W3CDTF">2025-11-19T03:49:00Z</dcterms:created>
  <dcterms:modified xsi:type="dcterms:W3CDTF">2025-12-09T16:52:00Z</dcterms:modified>
</cp:coreProperties>
</file>